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its-20260928.htm"/>
      <w:bookmarkStart w:id="1" w:name="kslits20260928"/>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As filed with the Securities and Exchange Commission on September 28, 2026</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pBdr>
          <w:bottom w:val="single" w:sz="8" w:space="1" w:color="A0A0A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sz w:val="20"/>
        </w:rPr>
      </w:pPr>
      <w:r>
        <w:rPr>
          <w:rFonts w:ascii="Times New Roman" w:hAnsi="Times New Roman"/>
          <w:b/>
          <w:color w:val="000000"/>
          <w:sz w:val="20"/>
        </w:rPr>
        <w:t>FORM</w:t>
      </w:r>
      <w:r>
        <w:rPr>
          <w:rFonts w:ascii="Times New Roman" w:hAnsi="Times New Roman"/>
          <w:color w:val="000000"/>
          <w:sz w:val="20"/>
        </w:rPr>
        <w:t xml:space="preserve"> </w:t>
      </w:r>
      <w:r>
        <w:rPr>
          <w:rFonts w:ascii="Times New Roman" w:hAnsi="Times New Roman"/>
          <w:b/>
          <w:color w:val="000000"/>
          <w:sz w:val="20"/>
        </w:rPr>
        <w:t>S-8</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jc w:val="center"/>
        <w:rPr>
          <w:rFonts w:ascii="Times New Roman" w:hAnsi="Times New Roman"/>
          <w:b/>
          <w:color w:val="000000"/>
          <w:sz w:val="20"/>
        </w:rPr>
      </w:pPr>
      <w:r>
        <w:rPr>
          <w:rFonts w:ascii="Times New Roman" w:hAnsi="Times New Roman"/>
          <w:b/>
          <w:color w:val="000000"/>
          <w:sz w:val="20"/>
        </w:rPr>
        <w:t>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ACT OF 1933</w:t>
      </w:r>
    </w:p>
    <w:p>
      <w:pPr>
        <w:pStyle w:val="TextBody"/>
        <w:bidi w:val="0"/>
        <w:jc w:val="center"/>
        <w:rPr>
          <w:rFonts w:ascii="Times New Roman" w:hAnsi="Times New Roman"/>
          <w:sz w:val="20"/>
        </w:rPr>
      </w:pPr>
      <w:r>
        <w:rPr>
          <w:rFonts w:ascii="Times New Roman" w:hAnsi="Times New Roman"/>
          <w:b/>
          <w:color w:val="000000"/>
          <w:sz w:val="20"/>
        </w:rPr>
        <w:t>LITE STRATEGY, INC.</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tbl>
      <w:tblPr>
        <w:tblW w:w="6966" w:type="dxa"/>
        <w:jc w:val="left"/>
        <w:tblInd w:w="0" w:type="dxa"/>
        <w:tblLayout w:type="fixed"/>
        <w:tblCellMar>
          <w:top w:w="28" w:type="dxa"/>
          <w:left w:w="28" w:type="dxa"/>
          <w:bottom w:w="28" w:type="dxa"/>
          <w:right w:w="28" w:type="dxa"/>
        </w:tblCellMar>
      </w:tblPr>
      <w:tblGrid>
        <w:gridCol w:w="3826"/>
        <w:gridCol w:w="109"/>
        <w:gridCol w:w="3031"/>
      </w:tblGrid>
      <w:tr>
        <w:trPr/>
        <w:tc>
          <w:tcPr>
            <w:tcW w:w="3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51-0407811</w:t>
            </w:r>
            <w:r>
              <w:rPr>
                <w:rFonts w:ascii="Times New Roman" w:hAnsi="Times New Roman"/>
                <w:color w:val="000000"/>
                <w:sz w:val="20"/>
              </w:rPr>
              <w:t xml:space="preserve"> </w:t>
            </w:r>
          </w:p>
        </w:tc>
      </w:tr>
      <w:tr>
        <w:trPr/>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w:t>
              <w:br/>
              <w:t>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left"/>
        <w:rPr>
          <w:rFonts w:ascii="Times New Roman" w:hAnsi="Times New Roman"/>
          <w:b/>
          <w:color w:val="000000"/>
          <w:sz w:val="20"/>
        </w:rPr>
      </w:pPr>
      <w:r>
        <w:rPr>
          <w:rFonts w:ascii="Times New Roman" w:hAnsi="Times New Roman"/>
          <w:b/>
          <w:color w:val="000000"/>
          <w:sz w:val="20"/>
        </w:rPr>
        <w:t>9920 Pacific Heights Blvd., Suite 150</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Lite Strategy, Inc. 2026 Omnibus Equity Compensation Plan</w:t>
      </w:r>
    </w:p>
    <w:p>
      <w:pPr>
        <w:pStyle w:val="TextBody"/>
        <w:bidi w:val="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jc w:val="center"/>
        <w:rPr>
          <w:rFonts w:ascii="Times New Roman" w:hAnsi="Times New Roman"/>
          <w:b/>
          <w:color w:val="000000"/>
          <w:sz w:val="20"/>
        </w:rPr>
      </w:pPr>
      <w:r>
        <w:rPr>
          <w:rFonts w:ascii="Times New Roman" w:hAnsi="Times New Roman"/>
          <w:b/>
          <w:color w:val="000000"/>
          <w:sz w:val="20"/>
        </w:rPr>
        <w:t>Justin J. File</w:t>
      </w:r>
    </w:p>
    <w:p>
      <w:pPr>
        <w:pStyle w:val="TextBody"/>
        <w:bidi w:val="0"/>
        <w:jc w:val="center"/>
        <w:rPr>
          <w:rFonts w:ascii="Times New Roman" w:hAnsi="Times New Roman"/>
          <w:sz w:val="20"/>
        </w:rPr>
      </w:pPr>
      <w:r>
        <w:rPr>
          <w:rFonts w:ascii="Times New Roman" w:hAnsi="Times New Roman"/>
          <w:b/>
          <w:color w:val="000000"/>
          <w:sz w:val="20"/>
        </w:rPr>
        <w:t>Chief Executive Officer, Chief Financial Officer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and Secretary</w:t>
      </w:r>
    </w:p>
    <w:p>
      <w:pPr>
        <w:pStyle w:val="TextBody"/>
        <w:bidi w:val="0"/>
        <w:jc w:val="center"/>
        <w:rPr>
          <w:rFonts w:ascii="Times New Roman" w:hAnsi="Times New Roman"/>
          <w:b/>
          <w:color w:val="000000"/>
          <w:sz w:val="20"/>
        </w:rPr>
      </w:pPr>
      <w:r>
        <w:rPr>
          <w:rFonts w:ascii="Times New Roman" w:hAnsi="Times New Roman"/>
          <w:b/>
          <w:color w:val="000000"/>
          <w:sz w:val="20"/>
        </w:rPr>
        <w:t>Lite Strategy, Inc.</w:t>
      </w:r>
    </w:p>
    <w:p>
      <w:pPr>
        <w:pStyle w:val="TextBody"/>
        <w:bidi w:val="0"/>
        <w:jc w:val="center"/>
        <w:rPr>
          <w:rFonts w:ascii="Times New Roman" w:hAnsi="Times New Roman"/>
          <w:b/>
          <w:color w:val="000000"/>
          <w:sz w:val="20"/>
        </w:rPr>
      </w:pPr>
      <w:r>
        <w:rPr>
          <w:rFonts w:ascii="Times New Roman" w:hAnsi="Times New Roman"/>
          <w:b/>
          <w:color w:val="000000"/>
          <w:sz w:val="20"/>
        </w:rPr>
        <w:t>9920 Pacific Heights Blvd.,</w:t>
      </w:r>
    </w:p>
    <w:p>
      <w:pPr>
        <w:pStyle w:val="TextBody"/>
        <w:bidi w:val="0"/>
        <w:jc w:val="center"/>
        <w:rPr>
          <w:rFonts w:ascii="Times New Roman" w:hAnsi="Times New Roman"/>
          <w:b/>
          <w:color w:val="000000"/>
          <w:sz w:val="20"/>
        </w:rPr>
      </w:pPr>
      <w:r>
        <w:rPr>
          <w:rFonts w:ascii="Times New Roman" w:hAnsi="Times New Roman"/>
          <w:b/>
          <w:color w:val="000000"/>
          <w:sz w:val="20"/>
        </w:rPr>
        <w:t>Suite 150</w:t>
      </w:r>
    </w:p>
    <w:p>
      <w:pPr>
        <w:pStyle w:val="TextBody"/>
        <w:bidi w:val="0"/>
        <w:jc w:val="center"/>
        <w:rPr>
          <w:rFonts w:ascii="Times New Roman" w:hAnsi="Times New Roman"/>
          <w:b/>
          <w:color w:val="000000"/>
          <w:sz w:val="20"/>
        </w:rPr>
      </w:pPr>
      <w:r>
        <w:rPr>
          <w:rFonts w:ascii="Times New Roman" w:hAnsi="Times New Roman"/>
          <w:b/>
          <w:color w:val="000000"/>
          <w:sz w:val="20"/>
        </w:rPr>
        <w:t>San Diego, CA 92121</w:t>
      </w:r>
    </w:p>
    <w:p>
      <w:pPr>
        <w:pStyle w:val="TextBody"/>
        <w:bidi w:val="0"/>
        <w:jc w:val="center"/>
        <w:rPr>
          <w:rFonts w:ascii="Times New Roman" w:hAnsi="Times New Roman"/>
          <w:color w:val="000000"/>
          <w:sz w:val="20"/>
        </w:rPr>
      </w:pPr>
      <w:r>
        <w:rPr>
          <w:rFonts w:ascii="Times New Roman" w:hAnsi="Times New Roman"/>
          <w:color w:val="000000"/>
          <w:sz w:val="20"/>
        </w:rPr>
        <w:t>(Name and address of agent for service)</w:t>
      </w:r>
    </w:p>
    <w:p>
      <w:pPr>
        <w:pStyle w:val="TextBody"/>
        <w:bidi w:val="0"/>
        <w:jc w:val="center"/>
        <w:rPr>
          <w:rFonts w:ascii="Times New Roman" w:hAnsi="Times New Roman"/>
          <w:b/>
          <w:color w:val="000000"/>
          <w:sz w:val="20"/>
        </w:rPr>
      </w:pPr>
      <w:r>
        <w:rPr>
          <w:rFonts w:ascii="Times New Roman" w:hAnsi="Times New Roman"/>
          <w:b/>
          <w:color w:val="000000"/>
          <w:sz w:val="20"/>
        </w:rPr>
        <w:t>(858) 369-7100</w:t>
      </w:r>
    </w:p>
    <w:p>
      <w:pPr>
        <w:pStyle w:val="TextBody"/>
        <w:bidi w:val="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jc w:val="center"/>
        <w:rPr>
          <w:rFonts w:ascii="Times New Roman" w:hAnsi="Times New Roman"/>
          <w:sz w:val="20"/>
        </w:rPr>
      </w:pPr>
      <w:r>
        <w:rPr>
          <w:rFonts w:ascii="Times New Roman" w:hAnsi="Times New Roman"/>
          <w:b/>
          <w:i/>
          <w:color w:val="000000"/>
          <w:sz w:val="20"/>
        </w:rPr>
        <w:t>Copies to</w:t>
      </w:r>
      <w:r>
        <w:rPr>
          <w:rFonts w:ascii="Times New Roman" w:hAnsi="Times New Roman"/>
          <w:b/>
          <w:color w:val="000000"/>
          <w:sz w:val="20"/>
        </w:rPr>
        <w:t>:</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Justin W. Chairman, Esq.</w:t>
      </w:r>
    </w:p>
    <w:p>
      <w:pPr>
        <w:pStyle w:val="TextBody"/>
        <w:bidi w:val="0"/>
        <w:jc w:val="center"/>
        <w:rPr>
          <w:rFonts w:ascii="Times New Roman" w:hAnsi="Times New Roman"/>
          <w:b/>
          <w:color w:val="000000"/>
          <w:sz w:val="20"/>
        </w:rPr>
      </w:pPr>
      <w:r>
        <w:rPr>
          <w:rFonts w:ascii="Times New Roman" w:hAnsi="Times New Roman"/>
          <w:b/>
          <w:color w:val="000000"/>
          <w:sz w:val="20"/>
        </w:rPr>
        <w:t>Morgan, Lewis &amp; Bockius LLP</w:t>
      </w:r>
    </w:p>
    <w:p>
      <w:pPr>
        <w:pStyle w:val="TextBody"/>
        <w:bidi w:val="0"/>
        <w:jc w:val="center"/>
        <w:rPr>
          <w:rFonts w:ascii="Times New Roman" w:hAnsi="Times New Roman"/>
          <w:b/>
          <w:color w:val="000000"/>
          <w:sz w:val="20"/>
        </w:rPr>
      </w:pPr>
      <w:r>
        <w:rPr>
          <w:rFonts w:ascii="Times New Roman" w:hAnsi="Times New Roman"/>
          <w:b/>
          <w:color w:val="000000"/>
          <w:sz w:val="20"/>
        </w:rPr>
        <w:t>2222 Market Street</w:t>
      </w:r>
    </w:p>
    <w:p>
      <w:pPr>
        <w:pStyle w:val="TextBody"/>
        <w:bidi w:val="0"/>
        <w:jc w:val="center"/>
        <w:rPr>
          <w:rFonts w:ascii="Times New Roman" w:hAnsi="Times New Roman"/>
          <w:b/>
          <w:color w:val="000000"/>
          <w:sz w:val="20"/>
        </w:rPr>
      </w:pPr>
      <w:r>
        <w:rPr>
          <w:rFonts w:ascii="Times New Roman" w:hAnsi="Times New Roman"/>
          <w:b/>
          <w:color w:val="000000"/>
          <w:sz w:val="20"/>
        </w:rPr>
        <w:t>Philadelphia, PA 19103</w:t>
      </w:r>
    </w:p>
    <w:p>
      <w:pPr>
        <w:pStyle w:val="TextBody"/>
        <w:bidi w:val="0"/>
        <w:jc w:val="center"/>
        <w:rPr>
          <w:rFonts w:ascii="Times New Roman" w:hAnsi="Times New Roman"/>
          <w:b/>
          <w:color w:val="000000"/>
          <w:sz w:val="20"/>
        </w:rPr>
      </w:pPr>
      <w:r>
        <w:rPr>
          <w:rFonts w:ascii="Times New Roman" w:hAnsi="Times New Roman"/>
          <w:b/>
          <w:color w:val="000000"/>
          <w:sz w:val="20"/>
        </w:rPr>
        <w:t>(215) 963-5000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27" w:type="dxa"/>
        <w:jc w:val="left"/>
        <w:tblInd w:w="0" w:type="dxa"/>
        <w:tblLayout w:type="fixed"/>
        <w:tblCellMar>
          <w:top w:w="28" w:type="dxa"/>
          <w:left w:w="28" w:type="dxa"/>
          <w:bottom w:w="28" w:type="dxa"/>
          <w:right w:w="28" w:type="dxa"/>
        </w:tblCellMar>
      </w:tblPr>
      <w:tblGrid>
        <w:gridCol w:w="214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 ☒</w:t>
            </w:r>
          </w:p>
        </w:tc>
      </w:tr>
      <w:tr>
        <w:trPr/>
        <w:tc>
          <w:tcPr>
            <w:tcW w:w="2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December 17, 2025, subject to stockholder approval, the Board of Directors (the “Board”) of Lite Strategy, Inc. (the “Company”) adopted the Lite Strategy, Inc. 2026 Omnibus Equity Compensation Plan (the “Plan”). The Plan was subsequently approved by the Company’s stockholders at the Company’s 2026 Annual Meeting of Stockholders held on February 12, 2026 (the “Effective Date”). The number of shares of common stock, $0.00000002 par value (the “Common Stock”), authorized for issuance pursuant to the Plan is equal to (i) 2,000,000 newly authorized shares (the “Newly Authorized Shares”), plus (ii) any shares that remained available for issuance under the Amended and Restated MEI Pharma, Inc. 2008 Stock Omnibus Equity Compensation Plan (the “Prior Plan”) as of the Effective Date and shares underlying any outstanding awards granted under the Prior Plan that, following the Effective Date, expire, or are terminated, surrendered, cancelled, exchanged, or forfeited, for any reason without issuance of such shares (the “Prior Plan Shares”). The Company is filing this Registration Statement on Form S-8 (this “Registration Statement”) to register the offer and sale of an aggregate of 2,542,050 shares of Common Stock, which consists of (i) the 2,000,000 Newly Authorized Shares and (ii) 542,050 Prior Plan Shares.</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documents containing the information concerning the Plan required by Part I of this Registration Statement will be sent or given to Plan participants as specified by Rule 428(b)(1) under the Securities Act of 1933, as amended (the “Securities Act”). Such documents are not filed as part of this Registration Statement in accordance with the rules and regulations of the Securities and Exchange Commission (the “Commission”) either as part of this Registration Statement or as prospectuses or prospectus supplements pursuant to Rule 424 under the Securities Act. These documents, and the documents incorporated by reference into this Registration Statement pursuant to Item 3 of Part II of this Registration Statement, taken together, constitute a prospectus that meets the requirements of Section 10(a) of the Securities Act.</w:t>
      </w:r>
    </w:p>
    <w:p>
      <w:pPr>
        <w:pStyle w:val="TextBody"/>
        <w:bidi w:val="0"/>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PART II</w:t>
        <w:br/>
        <w:t>INFORMATION REQUIRED IN THE REGISTRATION STATEMENT</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incorporates by reference into this Registration Statement the following documents which the Company previously filed with the Commission:</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 xml:space="preserve">the </w:t>
      </w:r>
      <w:hyperlink r:id="rId2">
        <w:r>
          <w:rPr>
            <w:rStyle w:val="InternetLink"/>
            <w:rFonts w:ascii="Times New Roman" w:hAnsi="Times New Roman"/>
            <w:color w:val="0000FF"/>
            <w:sz w:val="20"/>
            <w:u w:val="single"/>
          </w:rPr>
          <w:t>Company’s Annual Report on Form 10-K filed with the Commission for the fiscal year ended June 30, 2026 filed with the Commission on September 28, 2026</w:t>
        </w:r>
      </w:hyperlink>
      <w:r>
        <w:rPr>
          <w:rFonts w:ascii="Times New Roman" w:hAnsi="Times New Roman"/>
          <w:color w:val="000000"/>
          <w:sz w:val="20"/>
        </w:rPr>
        <w:t xml:space="preserve">; and </w:t>
      </w:r>
    </w:p>
    <w:p>
      <w:pPr>
        <w:pStyle w:val="TextBody"/>
        <w:bidi w:val="0"/>
        <w:spacing w:before="0" w:after="240"/>
        <w:jc w:val="left"/>
        <w:rPr>
          <w:color w:val="000000"/>
        </w:rPr>
      </w:pPr>
      <w:r>
        <w:rPr>
          <w:color w:val="000000"/>
        </w:rPr>
        <w:t>•</w:t>
      </w:r>
    </w:p>
    <w:p>
      <w:pPr>
        <w:pStyle w:val="TextBody"/>
        <w:bidi w:val="0"/>
        <w:spacing w:before="0" w:after="240"/>
        <w:jc w:val="left"/>
        <w:rPr/>
      </w:pPr>
      <w:r>
        <w:rPr>
          <w:rFonts w:ascii="Times New Roman" w:hAnsi="Times New Roman"/>
          <w:color w:val="000000"/>
          <w:sz w:val="20"/>
        </w:rPr>
        <w:t xml:space="preserve">the description of our common stock contained in the Description of MEI Common Stock filed </w:t>
      </w:r>
      <w:hyperlink r:id="rId3">
        <w:r>
          <w:rPr>
            <w:rStyle w:val="InternetLink"/>
            <w:rFonts w:ascii="Times New Roman" w:hAnsi="Times New Roman"/>
            <w:color w:val="0000FF"/>
            <w:sz w:val="20"/>
            <w:u w:val="single"/>
          </w:rPr>
          <w:t>as Exhibit 4.4</w:t>
        </w:r>
      </w:hyperlink>
      <w:r>
        <w:rPr>
          <w:rFonts w:ascii="Times New Roman" w:hAnsi="Times New Roman"/>
          <w:color w:val="000000"/>
          <w:sz w:val="20"/>
        </w:rPr>
        <w:t xml:space="preserve"> to the </w:t>
      </w:r>
      <w:hyperlink r:id="rId4">
        <w:r>
          <w:rPr>
            <w:rStyle w:val="InternetLink"/>
            <w:rFonts w:ascii="Times New Roman" w:hAnsi="Times New Roman"/>
            <w:color w:val="0000FF"/>
            <w:sz w:val="20"/>
            <w:u w:val="single"/>
          </w:rPr>
          <w:t>Company’s Annual Report on Form 10-K for the fiscal year ended June 30, 2023</w:t>
        </w:r>
      </w:hyperlink>
      <w:r>
        <w:rPr>
          <w:rFonts w:ascii="Times New Roman" w:hAnsi="Times New Roman"/>
          <w:color w:val="000000"/>
          <w:sz w:val="20"/>
        </w:rPr>
        <w:t xml:space="preserve"> and any further Description of our Common Stock filed with the Commission thereafter for the purpose of updating such description.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All documents subsequently filed by us pursuant to Sections 13(a), 13(c), 14 and 15(d) of the Securities Exchange Act of 1934, as amended (the “Exchange Act”), prior to the filing of a post-effective amendment which indicates that all securities offered herein have been sold or which deregisters all securities then remaining unsold shall be deemed to be incorporated by reference into this Registration Statement and to be a part hereof from the date of the filing of such documents.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None.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Section 145 of the Delaware General Corporation Law (the “DGCL”) authorizes a corporation’s board of directors to grant, and authorizes a court to award, indemnity to officers, directors, and other corporate agents. </w:t>
      </w:r>
    </w:p>
    <w:p>
      <w:pPr>
        <w:pStyle w:val="TextBody"/>
        <w:bidi w:val="0"/>
        <w:jc w:val="left"/>
        <w:rPr>
          <w:rFonts w:ascii="Times New Roman" w:hAnsi="Times New Roman"/>
          <w:color w:val="000000"/>
          <w:sz w:val="20"/>
        </w:rPr>
      </w:pPr>
      <w:r>
        <w:rPr>
          <w:rFonts w:ascii="Times New Roman" w:hAnsi="Times New Roman"/>
          <w:color w:val="000000"/>
          <w:sz w:val="20"/>
        </w:rPr>
        <w:t xml:space="preserve">As permitted by Delaware law, our certificate of incorporation provides that, to the fullest extent permitted by Delaware law, no director will be personally liable to us or our stockholders for monetary damages for breach of fiduciary duty as a director. Pursuant to Delaware law such protection would be not available for liability: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breach of the director’s duty of loyalty to us or our stockholders;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act or omission not in good faith or that involves intentional misconduct or a knowing violation of law;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 act or omission for which the liability of a director is expressly provided by an applicable statute, including unlawful payments of dividends or unlawful stock repurchases or redemptions as provided in Section 174 of the DGCL; or </w:t>
            </w:r>
          </w:p>
        </w:tc>
      </w:tr>
      <w:tr>
        <w:trPr/>
        <w:tc>
          <w:tcPr>
            <w:tcW w:w="12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w:t>
            </w:r>
          </w:p>
        </w:tc>
        <w:tc>
          <w:tcPr>
            <w:tcW w:w="10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any transaction from which the director derived an improper personal benefit.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we must indemnify our directors and officers to the fullest extent permitted by Delaware law. Our bylaws also authorize us to indemnify any of our employees or agents and permit us to secure insurance on behalf of any officer, director, employee or agent for any liability arising out of his or her action in that capacity, whether or not Delaware law would otherwise permit indemnification.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bylaws also provide that we are required to advance expenses to our directors and officers as incurred in connection with legal proceedings against them for which they may be indemnified and that the rights conferred in the bylaws are not exclusive.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indemnification agreements with each of our directors and executive officers.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 xml:space="preserve">These agreements, among other things, require us to indemnify each director and officer to the fullest extent permitted by Delaware law, the certificate of incorporation and bylaws, for expenses such as, among other things, attorneys’ fees, judgments, fines, and settlement amounts incurred by the director or executive officer in any action or proceeding, including any action by or in our right, arising out of the person’s services as our director or executive officer or as the director or executive officer of any subsidiary of ours or any other company or enterprise to which the person provides services at our request. We also have directors’ and officers’ liability insurance. </w:t>
      </w:r>
    </w:p>
    <w:p>
      <w:pPr>
        <w:pStyle w:val="TextBody"/>
        <w:bidi w:val="0"/>
        <w:spacing w:before="20" w:after="100"/>
        <w:jc w:val="left"/>
        <w:rPr>
          <w:rFonts w:ascii="Times New Roman" w:hAnsi="Times New Roman"/>
          <w:color w:val="000000"/>
          <w:sz w:val="20"/>
        </w:rPr>
      </w:pPr>
      <w:r>
        <w:rPr>
          <w:rFonts w:ascii="Times New Roman" w:hAnsi="Times New Roman"/>
          <w:color w:val="000000"/>
          <w:sz w:val="20"/>
        </w:rPr>
        <w:t xml:space="preserve">The Commission has taken the position that personal liability of directors for violation of the federal securities laws cannot be limited and that indemnification by us for any such violation is unenforceable. 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8. Exhibits.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list of exhibits filed herewith is contained in the Exhibit Index that immediately precedes such exhibits and is incorporated herein by reference.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registrant hereby undertakes: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file, during any period in which offers or sales are being made, a post-effective amendment to this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include any prospectus required by Section 10(a)(3) of the Securities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include any material information with respect to the plan of distribution not previously disclosed in the registration statement or any material change to such information in the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provided, however, that the undertakings set forth in paragraphs (a)(1)(i) and (a)(1)(ii) above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To remove from registration by means of a post-effective amendment any of the securities being registered which remain unsold at the termination of the offering.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Insofar as indemnification for liabilities arising under the Securities Act may be permitted to directors, officers and controlling persons of the registrant pursuant to the foregoing provisions, or otherwise, the registrant has been informed that in the opinion of the Securities and Exchange Commission such indemnification is against public policy as expressed in the Securities Act and is therefore unenforceable. In the event that a claim for indemnification against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40"/>
        <w:jc w:val="both"/>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0" w:after="240"/>
        <w:jc w:val="center"/>
        <w:rPr/>
      </w:pPr>
      <w:r>
        <w:rPr/>
        <w:t> </w:t>
      </w:r>
    </w:p>
    <w:tbl>
      <w:tblPr>
        <w:tblW w:w="10205" w:type="dxa"/>
        <w:jc w:val="left"/>
        <w:tblInd w:w="0" w:type="dxa"/>
        <w:tblLayout w:type="fixed"/>
        <w:tblCellMar>
          <w:top w:w="28" w:type="dxa"/>
          <w:left w:w="28" w:type="dxa"/>
          <w:bottom w:w="28" w:type="dxa"/>
          <w:right w:w="28" w:type="dxa"/>
        </w:tblCellMar>
      </w:tblPr>
      <w:tblGrid>
        <w:gridCol w:w="1127"/>
        <w:gridCol w:w="146"/>
        <w:gridCol w:w="4204"/>
        <w:gridCol w:w="146"/>
        <w:gridCol w:w="1151"/>
        <w:gridCol w:w="146"/>
        <w:gridCol w:w="911"/>
        <w:gridCol w:w="146"/>
        <w:gridCol w:w="736"/>
        <w:gridCol w:w="146"/>
        <w:gridCol w:w="1346"/>
      </w:tblGrid>
      <w:tr>
        <w:trPr/>
        <w:tc>
          <w:tcPr>
            <w:tcW w:w="11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r>
      <w:tr>
        <w:trPr/>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0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582" w:type="dxa"/>
            <w:gridSpan w:val="7"/>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 Herein</w:t>
            </w:r>
          </w:p>
        </w:tc>
      </w:tr>
      <w:tr>
        <w:trPr/>
        <w:tc>
          <w:tcPr>
            <w:tcW w:w="1127"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04"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151" w:type="dxa"/>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Schedule / Form</w:t>
            </w:r>
          </w:p>
        </w:tc>
        <w:tc>
          <w:tcPr>
            <w:tcW w:w="146" w:type="dxa"/>
            <w:vMerge w:val="restart"/>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pPr>
            <w:r>
              <w:rPr/>
              <w:t> </w:t>
            </w:r>
          </w:p>
        </w:tc>
        <w:tc>
          <w:tcPr>
            <w:tcW w:w="911" w:type="dxa"/>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146" w:type="dxa"/>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pPr>
            <w:r>
              <w:rPr/>
              <w:t> </w:t>
            </w:r>
          </w:p>
        </w:tc>
        <w:tc>
          <w:tcPr>
            <w:tcW w:w="736" w:type="dxa"/>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346" w:type="dxa"/>
            <w:tcBorders>
              <w:top w:val="single" w:sz="4" w:space="0" w:color="000000"/>
              <w:bottom w:val="single" w:sz="6"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Lite Strategy, Inc.</w:t>
              </w:r>
            </w:hyperlink>
            <w:hyperlink r:id="rId6">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vMerge w:val="continue"/>
            <w:tcBorders>
              <w:top w:val="single" w:sz="4" w:space="0" w:color="000000"/>
              <w:bottom w:val="single" w:sz="6" w:space="0" w:color="000000"/>
            </w:tcBorders>
            <w:tcMar>
              <w:left w:w="0" w:type="dxa"/>
              <w:right w:w="0" w:type="dxa"/>
            </w:tcMar>
            <w:vAlign w:val="center"/>
          </w:tcPr>
          <w:p>
            <w:pPr>
              <w:pStyle w:val="Normal"/>
              <w:bidi w:val="0"/>
              <w:jc w:val="left"/>
              <w:rPr/>
            </w:pPr>
            <w:r>
              <w:rPr/>
            </w:r>
          </w:p>
        </w:tc>
        <w:tc>
          <w:tcPr>
            <w:tcW w:w="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001-41827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26,2005</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r:id="rId7">
              <w:r>
                <w:rPr>
                  <w:rStyle w:val="InternetLink"/>
                  <w:rFonts w:ascii="Times New Roman" w:hAnsi="Times New Roman"/>
                  <w:color w:val="0000FF"/>
                  <w:sz w:val="20"/>
                  <w:u w:val="single"/>
                </w:rPr>
                <w:t>Sixth Amended and Restated Bylaws of MEI Pharma, Inc. adopted as of December 18, 2023</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6" w:type="dxa"/>
            <w:vMerge w:val="continue"/>
            <w:tcBorders>
              <w:top w:val="single" w:sz="4" w:space="0" w:color="000000"/>
              <w:bottom w:val="single" w:sz="6" w:space="0" w:color="000000"/>
            </w:tcBorders>
            <w:tcMar>
              <w:left w:w="0" w:type="dxa"/>
              <w:right w:w="0" w:type="dxa"/>
            </w:tcMar>
            <w:vAlign w:val="center"/>
          </w:tcPr>
          <w:p>
            <w:pPr>
              <w:pStyle w:val="Normal"/>
              <w:bidi w:val="0"/>
              <w:jc w:val="left"/>
              <w:rPr/>
            </w:pPr>
            <w:r>
              <w:rPr/>
            </w:r>
          </w:p>
        </w:tc>
        <w:tc>
          <w:tcPr>
            <w:tcW w:w="911" w:type="dxa"/>
            <w:tcBorders>
              <w:top w:val="single" w:sz="4" w:space="0" w:color="000000"/>
            </w:tcBorders>
            <w:tcMar>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001-41827</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December 22, 2023</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4204" w:type="dxa"/>
            <w:tcBorders/>
            <w:tcMar>
              <w:top w:w="0" w:type="dxa"/>
              <w:left w:w="0" w:type="dxa"/>
              <w:bottom w:w="0" w:type="dxa"/>
              <w:right w:w="0" w:type="dxa"/>
            </w:tcMar>
            <w:vAlign w:val="center"/>
          </w:tcPr>
          <w:p>
            <w:pPr>
              <w:pStyle w:val="TableContents"/>
              <w:bidi w:val="0"/>
              <w:spacing w:before="0" w:after="120"/>
              <w:jc w:val="left"/>
              <w:rPr/>
            </w:pPr>
            <w:hyperlink r:id="rId8">
              <w:r>
                <w:rPr>
                  <w:rStyle w:val="InternetLink"/>
                  <w:rFonts w:ascii="Times New Roman" w:hAnsi="Times New Roman"/>
                  <w:color w:val="0000FF"/>
                  <w:sz w:val="20"/>
                  <w:u w:val="single"/>
                </w:rPr>
                <w:t>Specimen Stock Certificate.</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S-1</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333-109129</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October 31, 2023</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lits-ex5_1.htm">
              <w:r>
                <w:rPr>
                  <w:rStyle w:val="InternetLink"/>
                  <w:rFonts w:ascii="Times New Roman" w:hAnsi="Times New Roman"/>
                  <w:color w:val="0000FF"/>
                  <w:sz w:val="20"/>
                  <w:u w:val="single"/>
                </w:rPr>
                <w:t>Opinion of Morgan, Lewis &amp; Bockius LLP regarding legality of securities being registered.</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lits-ex23_1.htm">
              <w:r>
                <w:rPr>
                  <w:rStyle w:val="InternetLink"/>
                  <w:rFonts w:ascii="Times New Roman" w:hAnsi="Times New Roman"/>
                  <w:color w:val="0000FF"/>
                  <w:sz w:val="20"/>
                  <w:u w:val="single"/>
                </w:rPr>
                <w:t>Consent of CBIZ CPAs PC,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lits-ex23_2.htm">
              <w:r>
                <w:rPr>
                  <w:rStyle w:val="InternetLink"/>
                  <w:rFonts w:ascii="Times New Roman" w:hAnsi="Times New Roman"/>
                  <w:color w:val="0000FF"/>
                  <w:sz w:val="20"/>
                  <w:u w:val="single"/>
                </w:rPr>
                <w:t>Consent of Deloitte &amp; Touche LLP,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lits-ex5_1.htm">
              <w:r>
                <w:rPr>
                  <w:rStyle w:val="InternetLink"/>
                  <w:rFonts w:ascii="Times New Roman" w:hAnsi="Times New Roman"/>
                  <w:color w:val="0000FF"/>
                  <w:sz w:val="20"/>
                  <w:u w:val="single"/>
                </w:rPr>
                <w:t>Consent of Morgan, Lewis &amp; Bockius LLP (included in Exhibit 5.1</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24.1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poa">
              <w:r>
                <w:rPr>
                  <w:rStyle w:val="InternetLink"/>
                  <w:rFonts w:ascii="Times New Roman" w:hAnsi="Times New Roman"/>
                  <w:color w:val="0000FF"/>
                  <w:sz w:val="20"/>
                  <w:u w:val="single"/>
                </w:rPr>
                <w:t>Power of Attorney (included as part of the registrant’s signature page).</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4204" w:type="dxa"/>
            <w:tcBorders/>
            <w:tcMar>
              <w:top w:w="0" w:type="dxa"/>
              <w:left w:w="0" w:type="dxa"/>
              <w:bottom w:w="0" w:type="dxa"/>
              <w:right w:w="0" w:type="dxa"/>
            </w:tcMar>
            <w:vAlign w:val="center"/>
          </w:tcPr>
          <w:p>
            <w:pPr>
              <w:pStyle w:val="TableContents"/>
              <w:bidi w:val="0"/>
              <w:spacing w:before="0" w:after="120"/>
              <w:jc w:val="left"/>
              <w:rPr/>
            </w:pPr>
            <w:hyperlink r:id="rId9">
              <w:r>
                <w:rPr>
                  <w:rStyle w:val="InternetLink"/>
                  <w:rFonts w:ascii="Times New Roman" w:hAnsi="Times New Roman"/>
                  <w:color w:val="0000FF"/>
                  <w:sz w:val="20"/>
                  <w:u w:val="single"/>
                </w:rPr>
                <w:t>Lite Strategy, Inc. 2026 Omnibus Equity Compensation Plan.</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911"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001-41827</w:t>
            </w:r>
          </w:p>
        </w:tc>
        <w:tc>
          <w:tcPr>
            <w:tcW w:w="146" w:type="dxa"/>
            <w:tcBorders/>
            <w:tcMar>
              <w:top w:w="0" w:type="dxa"/>
              <w:left w:w="0" w:type="dxa"/>
              <w:bottom w:w="0" w:type="dxa"/>
              <w:right w:w="0" w:type="dxa"/>
            </w:tcMar>
            <w:vAlign w:val="center"/>
          </w:tcPr>
          <w:p>
            <w:pPr>
              <w:pStyle w:val="TableContents"/>
              <w:bidi w:val="0"/>
              <w:spacing w:before="0" w:after="120"/>
              <w:jc w:val="center"/>
              <w:rPr/>
            </w:pPr>
            <w:r>
              <w:rPr/>
              <w:t> </w:t>
            </w:r>
          </w:p>
        </w:tc>
        <w:tc>
          <w:tcPr>
            <w:tcW w:w="73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February 12, 2026</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4" w:type="dxa"/>
            <w:tcBorders/>
            <w:tcMar>
              <w:top w:w="0" w:type="dxa"/>
              <w:left w:w="0" w:type="dxa"/>
              <w:bottom w:w="0" w:type="dxa"/>
              <w:right w:w="0" w:type="dxa"/>
            </w:tcMar>
            <w:vAlign w:val="center"/>
          </w:tcPr>
          <w:p>
            <w:pPr>
              <w:pStyle w:val="TableContents"/>
              <w:bidi w:val="0"/>
              <w:spacing w:before="0" w:after="120"/>
              <w:jc w:val="left"/>
              <w:rPr/>
            </w:pPr>
            <w:hyperlink w:anchor="lits_exfilingfees.htm">
              <w:r>
                <w:rPr>
                  <w:rStyle w:val="InternetLink"/>
                  <w:rFonts w:ascii="Times New Roman" w:hAnsi="Times New Roman"/>
                  <w:color w:val="0000FF"/>
                  <w:sz w:val="20"/>
                  <w:u w:val="single"/>
                </w:rPr>
                <w:t>Filing fee table.</w:t>
              </w:r>
            </w:hyperlink>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left"/>
              <w:rPr/>
            </w:pPr>
            <w:r>
              <w:rPr/>
              <w:t> </w:t>
            </w:r>
          </w:p>
        </w:tc>
      </w:tr>
      <w:tr>
        <w:trPr/>
        <w:tc>
          <w:tcPr>
            <w:tcW w:w="1127"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420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Filed herewith</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115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1"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736" w:type="dxa"/>
            <w:tcBorders/>
            <w:tcMar>
              <w:top w:w="0" w:type="dxa"/>
              <w:left w:w="0" w:type="dxa"/>
              <w:bottom w:w="0" w:type="dxa"/>
              <w:right w:w="0" w:type="dxa"/>
            </w:tcMar>
            <w:vAlign w:val="center"/>
          </w:tcPr>
          <w:p>
            <w:pPr>
              <w:pStyle w:val="TableContents"/>
              <w:bidi w:val="0"/>
              <w:spacing w:before="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46" w:type="dxa"/>
            <w:tcBorders/>
            <w:tcMar>
              <w:top w:w="0" w:type="dxa"/>
              <w:left w:w="0" w:type="dxa"/>
              <w:bottom w:w="0" w:type="dxa"/>
              <w:right w:w="0" w:type="dxa"/>
            </w:tcMar>
            <w:vAlign w:val="center"/>
          </w:tcPr>
          <w:p>
            <w:pPr>
              <w:pStyle w:val="TableContents"/>
              <w:bidi w:val="0"/>
              <w:spacing w:before="0" w:after="120"/>
              <w:jc w:val="left"/>
              <w:rPr/>
            </w:pPr>
            <w:r>
              <w:rPr/>
              <w:t> </w:t>
            </w:r>
          </w:p>
        </w:tc>
      </w:tr>
    </w:tbl>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Diego, State of California, on September 28, 2026.</w:t>
      </w:r>
    </w:p>
    <w:tbl>
      <w:tblPr>
        <w:tblW w:w="5807" w:type="dxa"/>
        <w:jc w:val="left"/>
        <w:tblInd w:w="0" w:type="dxa"/>
        <w:tblLayout w:type="fixed"/>
        <w:tblCellMar>
          <w:top w:w="28" w:type="dxa"/>
          <w:left w:w="28" w:type="dxa"/>
          <w:bottom w:w="28" w:type="dxa"/>
          <w:right w:w="28" w:type="dxa"/>
        </w:tblCellMar>
      </w:tblPr>
      <w:tblGrid>
        <w:gridCol w:w="646"/>
        <w:gridCol w:w="5161"/>
      </w:tblGrid>
      <w:tr>
        <w:trPr/>
        <w:tc>
          <w:tcPr>
            <w:tcW w:w="64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5807" w:type="dxa"/>
            <w:gridSpan w:val="2"/>
            <w:tcBorders/>
            <w:tcMar>
              <w:top w:w="0" w:type="dxa"/>
              <w:left w:w="0" w:type="dxa"/>
              <w:bottom w:w="0" w:type="dxa"/>
              <w:right w:w="0" w:type="dxa"/>
            </w:tcMar>
            <w:vAlign w:val="center"/>
          </w:tcPr>
          <w:p>
            <w:pPr>
              <w:pStyle w:val="TableContents"/>
              <w:bidi w:val="0"/>
              <w:spacing w:before="0" w:after="160"/>
              <w:jc w:val="left"/>
              <w:rPr>
                <w:rFonts w:ascii="Times New Roman" w:hAnsi="Times New Roman"/>
                <w:b/>
                <w:color w:val="000000"/>
                <w:sz w:val="20"/>
              </w:rPr>
            </w:pPr>
            <w:r>
              <w:rPr>
                <w:rFonts w:ascii="Times New Roman" w:hAnsi="Times New Roman"/>
                <w:b/>
                <w:color w:val="000000"/>
                <w:sz w:val="20"/>
              </w:rPr>
              <w:t>LITE STRATEGY,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Justin J. File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J. File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Chief Financial Officer and Secretary</w:t>
            </w:r>
          </w:p>
        </w:tc>
      </w:tr>
    </w:tbl>
    <w:p>
      <w:pPr>
        <w:pStyle w:val="TextBody"/>
        <w:bidi w:val="0"/>
        <w:jc w:val="center"/>
        <w:rPr/>
      </w:pPr>
      <w:r>
        <w:rPr/>
        <w:t> </w:t>
      </w:r>
    </w:p>
    <w:p>
      <w:pPr>
        <w:pStyle w:val="TextBody"/>
        <w:bidi w:val="0"/>
        <w:spacing w:before="240" w:after="160"/>
        <w:jc w:val="center"/>
        <w:rPr>
          <w:rFonts w:ascii="Times New Roman" w:hAnsi="Times New Roman"/>
          <w:b/>
          <w:color w:val="000000"/>
          <w:sz w:val="20"/>
        </w:rPr>
      </w:pPr>
      <w:bookmarkStart w:id="2" w:name="poa"/>
      <w:bookmarkEnd w:id="2"/>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Justin J. File his true and lawful attorney-in-fact and agent with full power of substitution, for him and in his name, place and stead, in any and all capacities, to sign any and all amendments (including post-effective amendments) to this registration statement, and to sign any registration statement for the same offerings covered by the registration statement that is to be effective upon filing pursuant to Rule 462(b) promulgated under the Securities Act, and all post- 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any of them, or his or their substitute or substitutes, may lawfully do or cause to be done by virtue hereof.</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Pursuant to the requirements of the Securities Act, this Registration Statement has been signed by the following persons in the capacities and on the dates indicated. </w:t>
      </w:r>
    </w:p>
    <w:tbl>
      <w:tblPr>
        <w:tblW w:w="10205" w:type="dxa"/>
        <w:jc w:val="left"/>
        <w:tblInd w:w="0" w:type="dxa"/>
        <w:tblLayout w:type="fixed"/>
        <w:tblCellMar>
          <w:top w:w="28" w:type="dxa"/>
          <w:left w:w="28" w:type="dxa"/>
          <w:bottom w:w="28" w:type="dxa"/>
          <w:right w:w="28" w:type="dxa"/>
        </w:tblCellMar>
      </w:tblPr>
      <w:tblGrid>
        <w:gridCol w:w="1583"/>
        <w:gridCol w:w="146"/>
        <w:gridCol w:w="6879"/>
        <w:gridCol w:w="146"/>
        <w:gridCol w:w="1451"/>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480" w:after="283"/>
              <w:jc w:val="center"/>
              <w:rPr>
                <w:rFonts w:ascii="Times New Roman" w:hAnsi="Times New Roman"/>
                <w:color w:val="000000"/>
                <w:sz w:val="20"/>
              </w:rPr>
            </w:pPr>
            <w:r>
              <w:rPr>
                <w:rFonts w:ascii="Times New Roman" w:hAnsi="Times New Roman"/>
                <w:color w:val="000000"/>
                <w:sz w:val="20"/>
              </w:rPr>
              <w:t>/s/ Justin J. File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79" w:type="dxa"/>
            <w:vMerge w:val="restart"/>
            <w:tcBorders/>
            <w:tcMar>
              <w:top w:w="0" w:type="dxa"/>
              <w:left w:w="0" w:type="dxa"/>
              <w:bottom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Chief Executive Officer, Chief Financial Officer and Secretary (Principal Executive Officer, 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28, 2026</w:t>
            </w:r>
          </w:p>
        </w:tc>
      </w:tr>
      <w:tr>
        <w:trPr/>
        <w:tc>
          <w:tcPr>
            <w:tcW w:w="15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J. File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Frederick W. Driscoll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 and Chairman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28, 2026</w:t>
            </w:r>
          </w:p>
        </w:tc>
      </w:tr>
      <w:tr>
        <w:trPr/>
        <w:tc>
          <w:tcPr>
            <w:tcW w:w="15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Frederick W. Driscoll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James Flynn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28, 2026</w:t>
            </w:r>
          </w:p>
        </w:tc>
      </w:tr>
      <w:tr>
        <w:trPr/>
        <w:tc>
          <w:tcPr>
            <w:tcW w:w="158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James Flynn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Nicholas R. Glover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September 28, 2026</w:t>
            </w:r>
          </w:p>
          <w:p>
            <w:pPr>
              <w:pStyle w:val="TableContents"/>
              <w:bidi w:val="0"/>
              <w:spacing w:before="0" w:after="283"/>
              <w:jc w:val="left"/>
              <w:rPr/>
            </w:pPr>
            <w:r>
              <w:rPr/>
              <w:t> </w:t>
            </w:r>
          </w:p>
        </w:tc>
      </w:tr>
      <w:tr>
        <w:trPr/>
        <w:tc>
          <w:tcPr>
            <w:tcW w:w="158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Nicholas R. Glover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Charles B. Lee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28, 2026</w:t>
            </w:r>
          </w:p>
        </w:tc>
      </w:tr>
      <w:tr>
        <w:trPr/>
        <w:tc>
          <w:tcPr>
            <w:tcW w:w="158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Charles B. Lee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r>
        <w:trPr/>
        <w:tc>
          <w:tcPr>
            <w:tcW w:w="1583" w:type="dxa"/>
            <w:tcBorders>
              <w:bottom w:val="single" w:sz="4" w:space="0" w:color="000000"/>
            </w:tcBorders>
            <w:tcMar>
              <w:top w:w="0" w:type="dxa"/>
              <w:left w:w="0" w:type="dxa"/>
              <w:right w:w="0" w:type="dxa"/>
            </w:tcMar>
            <w:vAlign w:val="center"/>
          </w:tcPr>
          <w:p>
            <w:pPr>
              <w:pStyle w:val="TableContents"/>
              <w:bidi w:val="0"/>
              <w:spacing w:before="240" w:after="283"/>
              <w:jc w:val="center"/>
              <w:rPr>
                <w:rFonts w:ascii="Times New Roman" w:hAnsi="Times New Roman"/>
                <w:color w:val="000000"/>
                <w:sz w:val="20"/>
              </w:rPr>
            </w:pPr>
            <w:r>
              <w:rPr>
                <w:rFonts w:ascii="Times New Roman" w:hAnsi="Times New Roman"/>
                <w:color w:val="000000"/>
                <w:sz w:val="20"/>
              </w:rPr>
              <w:t>/s/ Joshua Riezman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879"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28, 2026</w:t>
            </w:r>
          </w:p>
        </w:tc>
      </w:tr>
      <w:tr>
        <w:trPr/>
        <w:tc>
          <w:tcPr>
            <w:tcW w:w="1583" w:type="dxa"/>
            <w:tcBorders/>
            <w:tcMar>
              <w:top w:w="0" w:type="dxa"/>
              <w:left w:w="0" w:type="dxa"/>
              <w:bottom w:w="0" w:type="dxa"/>
              <w:right w:w="0" w:type="dxa"/>
            </w:tcMar>
            <w:vAlign w:val="center"/>
          </w:tcPr>
          <w:p>
            <w:pPr>
              <w:pStyle w:val="TableContents"/>
              <w:bidi w:val="0"/>
              <w:spacing w:before="0" w:after="240"/>
              <w:jc w:val="center"/>
              <w:rPr>
                <w:rFonts w:ascii="Times New Roman" w:hAnsi="Times New Roman"/>
                <w:color w:val="000000"/>
                <w:sz w:val="20"/>
              </w:rPr>
            </w:pPr>
            <w:r>
              <w:rPr>
                <w:rFonts w:ascii="Times New Roman" w:hAnsi="Times New Roman"/>
                <w:color w:val="000000"/>
                <w:sz w:val="20"/>
              </w:rPr>
              <w:t>Joshua Riezman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79"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 w:name="lits-ex5_1.htm"/>
      <w:bookmarkStart w:id="4" w:name="kslitsex5_1"/>
      <w:bookmarkEnd w:id="3"/>
      <w:bookmarkEnd w:id="4"/>
      <w:r>
        <w:rPr>
          <w:rFonts w:ascii="Times New Roman" w:hAnsi="Times New Roman"/>
          <w:b/>
          <w:color w:val="000000"/>
          <w:sz w:val="20"/>
        </w:rPr>
        <w:t>Exhibit 5.1</w:t>
      </w:r>
      <w:r>
        <w:br w:type="page"/>
      </w:r>
    </w:p>
    <w:p>
      <w:pPr>
        <w:pStyle w:val="TextBody"/>
        <w:bidi w:val="0"/>
        <w:spacing w:before="0" w:after="240"/>
        <w:jc w:val="left"/>
        <w:rPr/>
      </w:pPr>
      <w:r>
        <w:rPr/>
        <w:drawing>
          <wp:inline distT="0" distB="0" distL="0" distR="0">
            <wp:extent cx="20383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2038350" cy="342900"/>
                    </a:xfrm>
                    <a:prstGeom prst="rect">
                      <a:avLst/>
                    </a:prstGeom>
                  </pic:spPr>
                </pic:pic>
              </a:graphicData>
            </a:graphic>
          </wp:inline>
        </w:drawing>
      </w:r>
    </w:p>
    <w:p>
      <w:pPr>
        <w:pStyle w:val="TextBody"/>
        <w:bidi w:val="0"/>
        <w:spacing w:before="0" w:after="360"/>
        <w:jc w:val="left"/>
        <w:rPr>
          <w:rFonts w:ascii="Times New Roman" w:hAnsi="Times New Roman"/>
          <w:color w:val="000000"/>
          <w:sz w:val="20"/>
        </w:rPr>
      </w:pPr>
      <w:r>
        <w:rPr>
          <w:rFonts w:ascii="Times New Roman" w:hAnsi="Times New Roman"/>
          <w:color w:val="000000"/>
          <w:sz w:val="20"/>
        </w:rPr>
        <w:t>September 28, 2026</w:t>
      </w:r>
    </w:p>
    <w:p>
      <w:pPr>
        <w:pStyle w:val="TextBody"/>
        <w:bidi w:val="0"/>
        <w:jc w:val="left"/>
        <w:rPr>
          <w:rFonts w:ascii="Times New Roman" w:hAnsi="Times New Roman"/>
          <w:color w:val="000000"/>
          <w:sz w:val="20"/>
        </w:rPr>
      </w:pPr>
      <w:r>
        <w:rPr>
          <w:rFonts w:ascii="Times New Roman" w:hAnsi="Times New Roman"/>
          <w:color w:val="000000"/>
          <w:sz w:val="20"/>
        </w:rPr>
        <w:t>Lite Strategy, Inc.</w:t>
      </w:r>
    </w:p>
    <w:p>
      <w:pPr>
        <w:pStyle w:val="TextBody"/>
        <w:bidi w:val="0"/>
        <w:jc w:val="left"/>
        <w:rPr>
          <w:rFonts w:ascii="Times New Roman" w:hAnsi="Times New Roman"/>
          <w:color w:val="000000"/>
          <w:sz w:val="20"/>
        </w:rPr>
      </w:pPr>
      <w:r>
        <w:rPr>
          <w:rFonts w:ascii="Times New Roman" w:hAnsi="Times New Roman"/>
          <w:color w:val="000000"/>
          <w:sz w:val="20"/>
        </w:rPr>
        <w:t>9920 Pacific Heights Blvd., Suite 150</w:t>
      </w:r>
    </w:p>
    <w:p>
      <w:pPr>
        <w:pStyle w:val="TextBody"/>
        <w:bidi w:val="0"/>
        <w:jc w:val="left"/>
        <w:rPr>
          <w:rFonts w:ascii="Times New Roman" w:hAnsi="Times New Roman"/>
          <w:color w:val="000000"/>
          <w:sz w:val="20"/>
        </w:rPr>
      </w:pPr>
      <w:r>
        <w:rPr>
          <w:rFonts w:ascii="Times New Roman" w:hAnsi="Times New Roman"/>
          <w:color w:val="000000"/>
          <w:sz w:val="20"/>
        </w:rPr>
        <w:t>San Diego, CA 92121</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Lite Strategy, Inc. – Registration Statement on Form S-8</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acted as counsel to Lite Strategy, Inc., a Delaware corporation (the “Company”), in connection with the filing of the Company’s Registration Statement on Form S-8 (the “Registration Statement”) under the Securities Act of 1933, as amended (the “Securities Act”), with the Securities and Exchange Commission (the “SEC”) on the date hereof. The Registration Statement relates to the registration of the offer and sale of 2,542,050 shares of common stock, par value $0.00000002 per share of the Company (the “Common Stock”), which may be issued under the Lite Strategy, Inc. 2026 Omnibus Equity Compensation Plan (the “Plan”).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connection with this opinion letter, we have examined the Registration Statement and originals, or copies certified or otherwise identified to our satisfaction, of (i) the Amended and Restated Certificate of Incorporation of the Company, as amended to date, (ii) the Sixth Amended and Restated By-Laws of the Company, (iii) certain resolutions of the Company’s Board of Directors relating to the Registration Statement, (iv) the Plan, and (v) such other documents, records, and other instruments as we have deemed appropriate for purposes of the opinions set forth herein.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have assumed the genuineness of all signatures, the legal capacity of all natural persons, the authenticity of the documents submitted to us as originals, the conformity with the originals of all documents submitted to us as certified, facsimile, or photostatic copies, and the authenticity of the originals of all documents submitted to us as copies. With respect to matters of fact relevant to our opinions as set forth below, we have relied upon certificates of officers of the Company, representations made by the Company in documents examined by us, and representations of officers of the Company. We have also obtained and relied upon such certificates and assurances from public officials as we have deemed necessary for the purposes of our opinions set forth below.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Subject to the foregoing and the other matters set forth herein, we are of the opinion that the Common Stock being registered pursuant to the Registration Statement to be issued under the Plan have been duly authorized by the Company and, if and when issued and paid for in full in accordance with the Plan as contemplated by the Registration Statement, will be validly issued, fully paid and non-assessable.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opinions expressed herein are limited to the Federal laws of the United States and the Delaware General Corporation Law, and we express no opinion with respect to the laws of any other state or jurisdiction.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hereby consent to the use of this opinion as Exhibit 5.1 to the Registration Statement. In giving such consent, we do not admit that we are acting within the category of persons whose consent is required under the provisions of the Securities Act or the rules or regulations of the SEC thereunder.</w:t>
      </w:r>
    </w:p>
    <w:p>
      <w:pPr>
        <w:pStyle w:val="TextBody"/>
        <w:bidi w:val="0"/>
        <w:spacing w:before="0" w:after="240"/>
        <w:jc w:val="left"/>
        <w:rPr/>
      </w:pPr>
      <w:r>
        <w:rPr/>
        <w:t> </w:t>
      </w:r>
    </w:p>
    <w:tbl>
      <w:tblPr>
        <w:tblW w:w="3288" w:type="dxa"/>
        <w:jc w:val="left"/>
        <w:tblInd w:w="0" w:type="dxa"/>
        <w:tblLayout w:type="fixed"/>
        <w:tblCellMar>
          <w:top w:w="28" w:type="dxa"/>
          <w:left w:w="28" w:type="dxa"/>
          <w:bottom w:w="28" w:type="dxa"/>
          <w:right w:w="28" w:type="dxa"/>
        </w:tblCellMar>
      </w:tblPr>
      <w:tblGrid>
        <w:gridCol w:w="2989"/>
        <w:gridCol w:w="299"/>
      </w:tblGrid>
      <w:tr>
        <w:trPr/>
        <w:tc>
          <w:tcPr>
            <w:tcW w:w="29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ind w:left="0" w:right="0" w:firstLine="108"/>
              <w:jc w:val="left"/>
              <w:rPr>
                <w:sz w:val="4"/>
                <w:szCs w:val="4"/>
              </w:rPr>
            </w:pPr>
            <w:r>
              <w:rPr>
                <w:sz w:val="4"/>
                <w:szCs w:val="4"/>
              </w:rPr>
            </w:r>
          </w:p>
        </w:tc>
      </w:tr>
      <w:tr>
        <w:trPr/>
        <w:tc>
          <w:tcPr>
            <w:tcW w:w="2989" w:type="dxa"/>
            <w:tcBorders/>
            <w:tcMar>
              <w:top w:w="0" w:type="dxa"/>
              <w:left w:w="0" w:type="dxa"/>
              <w:bottom w:w="0" w:type="dxa"/>
              <w:right w:w="0" w:type="dxa"/>
            </w:tcMar>
            <w:vAlign w:val="center"/>
          </w:tcPr>
          <w:p>
            <w:pPr>
              <w:pStyle w:val="TableContents"/>
              <w:bidi w:val="0"/>
              <w:spacing w:before="0" w:after="360"/>
              <w:ind w:left="0" w:right="0" w:firstLine="108"/>
              <w:jc w:val="left"/>
              <w:rPr>
                <w:rFonts w:ascii="Times New Roman" w:hAnsi="Times New Roman"/>
                <w:color w:val="000000"/>
                <w:sz w:val="20"/>
              </w:rPr>
            </w:pPr>
            <w:r>
              <w:rPr>
                <w:rFonts w:ascii="Times New Roman" w:hAnsi="Times New Roman"/>
                <w:color w:val="000000"/>
                <w:sz w:val="20"/>
              </w:rPr>
              <w:t>Very truly yours,</w:t>
            </w:r>
          </w:p>
          <w:p>
            <w:pPr>
              <w:pStyle w:val="TableContents"/>
              <w:bidi w:val="0"/>
              <w:spacing w:before="0" w:after="360"/>
              <w:ind w:left="0" w:right="0" w:firstLine="108"/>
              <w:jc w:val="left"/>
              <w:rPr>
                <w:rFonts w:ascii="Times New Roman" w:hAnsi="Times New Roman"/>
                <w:color w:val="000000"/>
                <w:sz w:val="20"/>
              </w:rPr>
            </w:pPr>
            <w:r>
              <w:rPr>
                <w:rFonts w:ascii="Times New Roman" w:hAnsi="Times New Roman"/>
                <w:color w:val="000000"/>
                <w:sz w:val="20"/>
              </w:rPr>
              <w:t>/s/ Morgan, Lewis &amp; Bockius LLP</w:t>
            </w:r>
          </w:p>
        </w:tc>
        <w:tc>
          <w:tcPr>
            <w:tcW w:w="299" w:type="dxa"/>
            <w:tcBorders/>
            <w:tcMar>
              <w:top w:w="0" w:type="dxa"/>
              <w:left w:w="0" w:type="dxa"/>
              <w:bottom w:w="0" w:type="dxa"/>
              <w:right w:w="0" w:type="dxa"/>
            </w:tcMar>
            <w:vAlign w:val="center"/>
          </w:tcPr>
          <w:p>
            <w:pPr>
              <w:pStyle w:val="TableContents"/>
              <w:bidi w:val="0"/>
              <w:spacing w:before="0" w:after="283"/>
              <w:ind w:left="0" w:right="0" w:firstLine="108"/>
              <w:jc w:val="left"/>
              <w:rPr/>
            </w:pPr>
            <w:r>
              <w:rPr/>
              <w:t> </w:t>
            </w:r>
          </w:p>
        </w:tc>
      </w:tr>
    </w:tbl>
    <w:p>
      <w:pPr>
        <w:pStyle w:val="TextBody"/>
        <w:bidi w:val="0"/>
        <w:spacing w:before="0" w:after="24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5" w:name="lits-ex23_1.htm"/>
      <w:bookmarkStart w:id="6" w:name="kslitsex23_1"/>
      <w:bookmarkEnd w:id="5"/>
      <w:bookmarkEnd w:id="6"/>
      <w:r>
        <w:rPr>
          <w:rFonts w:ascii="Times New Roman" w:hAnsi="Times New Roman"/>
          <w:b/>
          <w:color w:val="000000"/>
          <w:sz w:val="22"/>
        </w:rPr>
        <w:t>`Exhibit 23.1</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jc w:val="both"/>
        <w:rPr>
          <w:rFonts w:ascii="Times New Roman" w:hAnsi="Times New Roman"/>
          <w:color w:val="000000"/>
          <w:sz w:val="22"/>
        </w:rPr>
      </w:pPr>
      <w:r>
        <w:rPr>
          <w:rFonts w:ascii="Times New Roman" w:hAnsi="Times New Roman"/>
          <w:color w:val="000000"/>
          <w:sz w:val="22"/>
        </w:rPr>
        <w:t xml:space="preserve">We consent to the incorporation by reference in this Registration Statement on Form S-8 of our report dated September 28, 2026 with respect to the financial statements of Lite Strategy, Inc. included in the Annual Report on Form 10-K of Lite Strategy, Inc. for the year ended June 30, 2026. </w:t>
      </w:r>
    </w:p>
    <w:p>
      <w:pPr>
        <w:pStyle w:val="TextBody"/>
        <w:bidi w:val="0"/>
        <w:jc w:val="left"/>
        <w:rPr/>
      </w:pPr>
      <w:r>
        <w:rPr/>
        <w:t> </w:t>
      </w:r>
    </w:p>
    <w:p>
      <w:pPr>
        <w:pStyle w:val="TextBody"/>
        <w:bidi w:val="0"/>
        <w:jc w:val="left"/>
        <w:rPr>
          <w:rFonts w:ascii="Times New Roman" w:hAnsi="Times New Roman"/>
          <w:sz w:val="22"/>
        </w:rPr>
      </w:pPr>
      <w:r>
        <w:rPr>
          <w:rFonts w:ascii="Times New Roman" w:hAnsi="Times New Roman"/>
          <w:color w:val="000000"/>
          <w:sz w:val="22"/>
        </w:rPr>
        <w:t xml:space="preserve">/s/ </w:t>
      </w:r>
      <w:r>
        <w:rPr>
          <w:rFonts w:ascii="Times New Roman" w:hAnsi="Times New Roman"/>
          <w:smallCaps/>
          <w:color w:val="000000"/>
          <w:sz w:val="22"/>
        </w:rPr>
        <w:t>CBIZ CPAs P.C.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Costa Mesa, California </w:t>
      </w:r>
    </w:p>
    <w:p>
      <w:pPr>
        <w:pStyle w:val="TextBody"/>
        <w:bidi w:val="0"/>
        <w:jc w:val="left"/>
        <w:rPr>
          <w:rFonts w:ascii="Times New Roman" w:hAnsi="Times New Roman"/>
          <w:color w:val="000000"/>
          <w:sz w:val="22"/>
        </w:rPr>
      </w:pPr>
      <w:r>
        <w:rPr>
          <w:rFonts w:ascii="Times New Roman" w:hAnsi="Times New Roman"/>
          <w:color w:val="000000"/>
          <w:sz w:val="22"/>
        </w:rPr>
        <w:t xml:space="preserve">September 28, 2026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7" w:name="lits-ex23_2.htm"/>
      <w:bookmarkStart w:id="8" w:name="kslitsex23_2"/>
      <w:bookmarkEnd w:id="7"/>
      <w:bookmarkEnd w:id="8"/>
      <w:r>
        <w:rPr/>
        <w:t> </w:t>
      </w:r>
      <w:r>
        <w:br w:type="page"/>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Exhibit 23.2</w:t>
      </w:r>
    </w:p>
    <w:p>
      <w:pPr>
        <w:pStyle w:val="TextBody"/>
        <w:bidi w:val="0"/>
        <w:jc w:val="righ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CONSENT OF INDEPENDENT REGISTERED PUBLIC ACCOUNTING FIRM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We consent to the incorporation by reference in this Registration Statement on Form S-8 of our report dated September 26, 2025, relating to the financial statements of Lite Strategy, Inc., appearing in the Annual Report on Form 10-K of Lite Strategy, Inc. for the year ended June 30, 2026.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 Deloitte &amp; Touche LLP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 xml:space="preserve">San Diego, California </w:t>
        <w:br/>
        <w:t>September 28,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9" w:name="lits_exfilingfees.htm"/>
      <w:bookmarkStart w:id="10" w:name="kslits_exfilingfees"/>
      <w:bookmarkEnd w:id="9"/>
      <w:bookmarkEnd w:id="10"/>
      <w:r>
        <w:rPr>
          <w:rFonts w:ascii="Times New Roman" w:hAnsi="Times New Roman"/>
          <w:b/>
          <w:color w:val="000000"/>
          <w:sz w:val="22"/>
        </w:rPr>
        <w:t>Exhibit 107</w:t>
      </w:r>
      <w:r>
        <w:br w:type="page"/>
      </w:r>
    </w:p>
    <w:p>
      <w:pPr>
        <w:pStyle w:val="TextBody"/>
        <w:bidi w:val="0"/>
        <w:jc w:val="center"/>
        <w:rPr>
          <w:rFonts w:ascii="Times New Roman" w:hAnsi="Times New Roman"/>
          <w:sz w:val="24"/>
        </w:rPr>
      </w:pPr>
      <w:r>
        <w:rPr>
          <w:rFonts w:ascii="Times New Roman" w:hAnsi="Times New Roman"/>
          <w:b/>
          <w:color w:val="000000"/>
          <w:sz w:val="24"/>
        </w:rPr>
        <w:t>Calculation of Filing Fee</w:t>
      </w:r>
      <w:r>
        <w:rPr>
          <w:rFonts w:ascii="Times New Roman" w:hAnsi="Times New Roman"/>
          <w:color w:val="000000"/>
          <w:sz w:val="24"/>
        </w:rPr>
        <w:t xml:space="preserve"> </w:t>
      </w:r>
      <w:r>
        <w:rPr>
          <w:rFonts w:ascii="Times New Roman" w:hAnsi="Times New Roman"/>
          <w:b/>
          <w:color w:val="000000"/>
          <w:sz w:val="24"/>
        </w:rPr>
        <w:t>Tables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S-8</w:t>
      </w:r>
    </w:p>
    <w:p>
      <w:pPr>
        <w:pStyle w:val="TextBody"/>
        <w:bidi w:val="0"/>
        <w:jc w:val="center"/>
        <w:rPr>
          <w:rFonts w:ascii="Times New Roman" w:hAnsi="Times New Roman"/>
          <w:color w:val="000000"/>
          <w:sz w:val="24"/>
        </w:rPr>
      </w:pPr>
      <w:r>
        <w:rPr>
          <w:rFonts w:ascii="Times New Roman" w:hAnsi="Times New Roman"/>
          <w:color w:val="000000"/>
          <w:sz w:val="24"/>
        </w:rPr>
        <w:t>(Form Type)</w:t>
      </w:r>
    </w:p>
    <w:p>
      <w:pPr>
        <w:pStyle w:val="TextBody"/>
        <w:bidi w:val="0"/>
        <w:jc w:val="center"/>
        <w:rPr/>
      </w:pPr>
      <w:r>
        <w:rPr/>
        <w:t> </w:t>
      </w:r>
    </w:p>
    <w:p>
      <w:pPr>
        <w:pStyle w:val="TextBody"/>
        <w:bidi w:val="0"/>
        <w:jc w:val="center"/>
        <w:rPr>
          <w:rFonts w:ascii="Times New Roman" w:hAnsi="Times New Roman"/>
          <w:sz w:val="24"/>
        </w:rPr>
      </w:pPr>
      <w:r>
        <w:rPr>
          <w:rFonts w:ascii="Times New Roman" w:hAnsi="Times New Roman"/>
          <w:b/>
          <w:color w:val="000000"/>
          <w:sz w:val="24"/>
        </w:rPr>
        <w:t>Lite Strategy, Inc.</w:t>
      </w:r>
      <w:r>
        <w:rPr>
          <w:rFonts w:ascii="Times New Roman" w:hAnsi="Times New Roman"/>
          <w:color w:val="000000"/>
          <w:sz w:val="24"/>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(Exact Name of Registrant as Specified in its Charter)</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Table 1: Newly Registered Securities</w:t>
      </w:r>
    </w:p>
    <w:p>
      <w:pPr>
        <w:pStyle w:val="TextBody"/>
        <w:bidi w:val="0"/>
        <w:jc w:val="center"/>
        <w:rPr/>
      </w:pPr>
      <w:r>
        <w:rPr/>
        <w:t> </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74"/>
        <w:gridCol w:w="844"/>
        <w:gridCol w:w="1951"/>
        <w:gridCol w:w="1329"/>
        <w:gridCol w:w="873"/>
        <w:gridCol w:w="1388"/>
        <w:gridCol w:w="1451"/>
        <w:gridCol w:w="871"/>
        <w:gridCol w:w="1224"/>
      </w:tblGrid>
      <w:tr>
        <w:trPr/>
        <w:tc>
          <w:tcPr>
            <w:tcW w:w="27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ind w:left="0" w:right="0" w:firstLine="113"/>
              <w:jc w:val="left"/>
              <w:rPr>
                <w:sz w:val="4"/>
                <w:szCs w:val="4"/>
              </w:rPr>
            </w:pPr>
            <w:r>
              <w:rPr>
                <w:sz w:val="4"/>
                <w:szCs w:val="4"/>
              </w:rPr>
            </w:r>
          </w:p>
        </w:tc>
      </w:tr>
      <w:tr>
        <w:trPr/>
        <w:tc>
          <w:tcPr>
            <w:tcW w:w="274" w:type="dxa"/>
            <w:tcBorders>
              <w:top w:val="single" w:sz="4" w:space="0" w:color="000000"/>
              <w:left w:val="single" w:sz="4" w:space="0" w:color="000000"/>
              <w:bottom w:val="single" w:sz="4" w:space="0" w:color="000000"/>
            </w:tcBorders>
            <w:tcMar>
              <w:left w:w="108" w:type="dxa"/>
              <w:right w:w="0" w:type="dxa"/>
            </w:tcMar>
            <w:vAlign w:val="center"/>
          </w:tcPr>
          <w:p>
            <w:pPr>
              <w:pStyle w:val="TableContents"/>
              <w:bidi w:val="0"/>
              <w:spacing w:before="0" w:after="283"/>
              <w:ind w:left="0" w:right="0" w:firstLine="113"/>
              <w:jc w:val="center"/>
              <w:rPr/>
            </w:pPr>
            <w:r>
              <w:rPr/>
              <w:t> </w:t>
            </w:r>
          </w:p>
        </w:tc>
        <w:tc>
          <w:tcPr>
            <w:tcW w:w="844"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ind w:left="0" w:right="0" w:firstLine="113"/>
              <w:jc w:val="center"/>
              <w:rPr>
                <w:rFonts w:ascii="Times New Roman" w:hAnsi="Times New Roman"/>
                <w:b/>
                <w:color w:val="000000"/>
                <w:sz w:val="16"/>
              </w:rPr>
            </w:pPr>
            <w:r>
              <w:rPr>
                <w:rFonts w:ascii="Times New Roman" w:hAnsi="Times New Roman"/>
                <w:b/>
                <w:color w:val="000000"/>
                <w:sz w:val="16"/>
              </w:rPr>
              <w:t xml:space="preserve">Security </w:t>
            </w:r>
          </w:p>
          <w:p>
            <w:pPr>
              <w:pStyle w:val="TableContents"/>
              <w:bidi w:val="0"/>
              <w:spacing w:before="0" w:after="283"/>
              <w:ind w:left="0" w:right="0" w:firstLine="113"/>
              <w:jc w:val="center"/>
              <w:rPr>
                <w:rFonts w:ascii="Times New Roman" w:hAnsi="Times New Roman"/>
                <w:b/>
                <w:color w:val="000000"/>
                <w:sz w:val="16"/>
              </w:rPr>
            </w:pPr>
            <w:r>
              <w:rPr>
                <w:rFonts w:ascii="Times New Roman" w:hAnsi="Times New Roman"/>
                <w:b/>
                <w:color w:val="000000"/>
                <w:sz w:val="16"/>
              </w:rPr>
              <w:t>Type</w:t>
            </w:r>
          </w:p>
        </w:tc>
        <w:tc>
          <w:tcPr>
            <w:tcW w:w="1951"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ind w:left="0" w:right="0" w:firstLine="6"/>
              <w:jc w:val="center"/>
              <w:rPr>
                <w:rFonts w:ascii="Times New Roman" w:hAnsi="Times New Roman"/>
                <w:b/>
                <w:color w:val="000000"/>
                <w:sz w:val="16"/>
              </w:rPr>
            </w:pPr>
            <w:r>
              <w:rPr>
                <w:rFonts w:ascii="Times New Roman" w:hAnsi="Times New Roman"/>
                <w:b/>
                <w:color w:val="000000"/>
                <w:sz w:val="16"/>
              </w:rPr>
              <w:t>Security Class</w:t>
              <w:br/>
              <w:t>Title</w:t>
            </w:r>
          </w:p>
        </w:tc>
        <w:tc>
          <w:tcPr>
            <w:tcW w:w="1329"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ind w:left="0" w:right="0" w:firstLine="6"/>
              <w:jc w:val="center"/>
              <w:rPr>
                <w:rFonts w:ascii="Times New Roman" w:hAnsi="Times New Roman"/>
                <w:b/>
                <w:color w:val="000000"/>
                <w:sz w:val="16"/>
              </w:rPr>
            </w:pPr>
            <w:r>
              <w:rPr>
                <w:rFonts w:ascii="Times New Roman" w:hAnsi="Times New Roman"/>
                <w:b/>
                <w:color w:val="000000"/>
                <w:sz w:val="16"/>
              </w:rPr>
              <w:t>Fee Calculation Rule</w:t>
            </w:r>
          </w:p>
        </w:tc>
        <w:tc>
          <w:tcPr>
            <w:tcW w:w="873"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ind w:left="0" w:right="0" w:firstLine="2"/>
              <w:jc w:val="center"/>
              <w:rPr>
                <w:rFonts w:ascii="Times New Roman" w:hAnsi="Times New Roman"/>
                <w:b/>
                <w:color w:val="000000"/>
                <w:sz w:val="16"/>
              </w:rPr>
            </w:pPr>
            <w:r>
              <w:rPr>
                <w:rFonts w:ascii="Times New Roman" w:hAnsi="Times New Roman"/>
                <w:b/>
                <w:color w:val="000000"/>
                <w:sz w:val="16"/>
              </w:rPr>
              <w:t>Amount</w:t>
              <w:br/>
              <w:t>Registered</w:t>
            </w:r>
          </w:p>
        </w:tc>
        <w:tc>
          <w:tcPr>
            <w:tcW w:w="1388"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ind w:left="0" w:right="0" w:firstLine="2"/>
              <w:jc w:val="center"/>
              <w:rPr>
                <w:rFonts w:ascii="Times New Roman" w:hAnsi="Times New Roman"/>
                <w:b/>
                <w:color w:val="000000"/>
                <w:sz w:val="16"/>
              </w:rPr>
            </w:pPr>
            <w:r>
              <w:rPr>
                <w:rFonts w:ascii="Times New Roman" w:hAnsi="Times New Roman"/>
                <w:b/>
                <w:color w:val="000000"/>
                <w:sz w:val="16"/>
              </w:rPr>
              <w:t>Proposed Maximum</w:t>
              <w:br/>
              <w:t>Offering Price Per Unit</w:t>
            </w:r>
          </w:p>
        </w:tc>
        <w:tc>
          <w:tcPr>
            <w:tcW w:w="1451"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Maximum Aggregate</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Offering Price</w:t>
            </w:r>
          </w:p>
        </w:tc>
        <w:tc>
          <w:tcPr>
            <w:tcW w:w="871" w:type="dxa"/>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Fee Rate</w:t>
            </w:r>
          </w:p>
        </w:tc>
        <w:tc>
          <w:tcPr>
            <w:tcW w:w="1224" w:type="dxa"/>
            <w:tcBorders>
              <w:top w:val="single" w:sz="4" w:space="0" w:color="000000"/>
              <w:left w:val="single" w:sz="4" w:space="0" w:color="000000"/>
              <w:bottom w:val="single" w:sz="4" w:space="0" w:color="000000"/>
              <w:right w:val="single" w:sz="4" w:space="0" w:color="000000"/>
            </w:tcBorders>
            <w:tcMar>
              <w:top w:w="35" w:type="dxa"/>
              <w:bottom w:w="35" w:type="dxa"/>
            </w:tcMar>
            <w:vAlign w:val="center"/>
          </w:tcPr>
          <w:p>
            <w:pPr>
              <w:pStyle w:val="TableContents"/>
              <w:bidi w:val="0"/>
              <w:spacing w:before="0" w:after="283"/>
              <w:ind w:left="0" w:right="0" w:firstLine="3"/>
              <w:jc w:val="center"/>
              <w:rPr>
                <w:rFonts w:ascii="Times New Roman" w:hAnsi="Times New Roman"/>
                <w:b/>
                <w:color w:val="000000"/>
                <w:sz w:val="16"/>
              </w:rPr>
            </w:pPr>
            <w:r>
              <w:rPr>
                <w:rFonts w:ascii="Times New Roman" w:hAnsi="Times New Roman"/>
                <w:b/>
                <w:color w:val="000000"/>
                <w:sz w:val="16"/>
              </w:rPr>
              <w:t>Amount of</w:t>
              <w:br/>
              <w:t>Registration Fee</w:t>
            </w:r>
          </w:p>
        </w:tc>
      </w:tr>
      <w:tr>
        <w:trPr/>
        <w:tc>
          <w:tcPr>
            <w:tcW w:w="274" w:type="dxa"/>
            <w:tcBorders>
              <w:left w:val="single" w:sz="4" w:space="0" w:color="000000"/>
            </w:tcBorders>
            <w:tcMar>
              <w:top w:w="0" w:type="dxa"/>
              <w:left w:w="108"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w:t>
            </w:r>
          </w:p>
        </w:tc>
        <w:tc>
          <w:tcPr>
            <w:tcW w:w="844"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Equity</w:t>
            </w:r>
          </w:p>
        </w:tc>
        <w:tc>
          <w:tcPr>
            <w:tcW w:w="1951"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$0.00000002 per share</w:t>
            </w:r>
          </w:p>
        </w:tc>
        <w:tc>
          <w:tcPr>
            <w:tcW w:w="1329" w:type="dxa"/>
            <w:tcBorders>
              <w:left w:val="single" w:sz="4" w:space="0" w:color="000000"/>
            </w:tcBorders>
            <w:tcMar>
              <w:top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Rule 457(c)</w:t>
            </w:r>
          </w:p>
          <w:p>
            <w:pPr>
              <w:pStyle w:val="TableContents"/>
              <w:bidi w:val="0"/>
              <w:jc w:val="center"/>
              <w:rPr>
                <w:rFonts w:ascii="Times New Roman" w:hAnsi="Times New Roman"/>
                <w:color w:val="000000"/>
                <w:sz w:val="16"/>
              </w:rPr>
            </w:pPr>
            <w:r>
              <w:rPr>
                <w:rFonts w:ascii="Times New Roman" w:hAnsi="Times New Roman"/>
                <w:color w:val="000000"/>
                <w:sz w:val="16"/>
              </w:rPr>
              <w:t>and Rule 457</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(h)</w:t>
            </w:r>
          </w:p>
        </w:tc>
        <w:tc>
          <w:tcPr>
            <w:tcW w:w="873"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2,542,050</w:t>
            </w:r>
          </w:p>
        </w:tc>
        <w:tc>
          <w:tcPr>
            <w:tcW w:w="1388"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$1.28</w:t>
            </w:r>
          </w:p>
        </w:tc>
        <w:tc>
          <w:tcPr>
            <w:tcW w:w="1451"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$3,253,824.00</w:t>
            </w:r>
          </w:p>
        </w:tc>
        <w:tc>
          <w:tcPr>
            <w:tcW w:w="871" w:type="dxa"/>
            <w:tcBorders>
              <w:left w:val="single" w:sz="4" w:space="0" w:color="000000"/>
            </w:tcBorders>
            <w:tcMar>
              <w:top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0.0001381</w:t>
            </w:r>
          </w:p>
        </w:tc>
        <w:tc>
          <w:tcPr>
            <w:tcW w:w="1224" w:type="dxa"/>
            <w:tcBorders>
              <w:left w:val="single" w:sz="4" w:space="0" w:color="000000"/>
              <w:right w:val="single" w:sz="4" w:space="0" w:color="000000"/>
            </w:tcBorders>
            <w:tcMar>
              <w:top w:w="0" w:type="dxa"/>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$449.35</w:t>
            </w:r>
          </w:p>
        </w:tc>
      </w:tr>
      <w:tr>
        <w:trPr/>
        <w:tc>
          <w:tcPr>
            <w:tcW w:w="274" w:type="dxa"/>
            <w:tcBorders>
              <w:top w:val="single" w:sz="4" w:space="0" w:color="000000"/>
              <w:left w:val="single" w:sz="4" w:space="0" w:color="000000"/>
              <w:bottom w:val="single" w:sz="4" w:space="0" w:color="000000"/>
            </w:tcBorders>
            <w:tcMar>
              <w:left w:w="108" w:type="dxa"/>
              <w:right w:w="0" w:type="dxa"/>
            </w:tcMar>
            <w:vAlign w:val="center"/>
          </w:tcPr>
          <w:p>
            <w:pPr>
              <w:pStyle w:val="TableContents"/>
              <w:bidi w:val="0"/>
              <w:spacing w:before="0" w:after="283"/>
              <w:jc w:val="center"/>
              <w:rPr/>
            </w:pPr>
            <w:r>
              <w:rPr/>
              <w:t> </w:t>
            </w:r>
          </w:p>
        </w:tc>
        <w:tc>
          <w:tcPr>
            <w:tcW w:w="4997" w:type="dxa"/>
            <w:gridSpan w:val="4"/>
            <w:tcBorders>
              <w:top w:val="single" w:sz="4" w:space="0" w:color="000000"/>
              <w:left w:val="single" w:sz="4" w:space="0" w:color="000000"/>
              <w:bottom w:val="single" w:sz="4" w:space="0" w:color="000000"/>
            </w:tcBorders>
            <w:tcMar>
              <w:top w:w="35" w:type="dxa"/>
              <w:bottom w:w="35"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Total Offering Amounts:</w:t>
            </w:r>
          </w:p>
        </w:tc>
        <w:tc>
          <w:tcPr>
            <w:tcW w:w="1388"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pPr>
            <w:r>
              <w:rPr/>
              <w:t> </w:t>
            </w:r>
          </w:p>
        </w:tc>
        <w:tc>
          <w:tcPr>
            <w:tcW w:w="145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$3,253,824.00</w:t>
            </w:r>
          </w:p>
        </w:tc>
        <w:tc>
          <w:tcPr>
            <w:tcW w:w="87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1224" w:type="dxa"/>
            <w:tcBorders>
              <w:top w:val="single" w:sz="4" w:space="0" w:color="000000"/>
              <w:left w:val="single" w:sz="4" w:space="0" w:color="000000"/>
              <w:right w:val="single" w:sz="4" w:space="0" w:color="000000"/>
            </w:tcBorders>
            <w:tcMar>
              <w:top w:w="35" w:type="dxa"/>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$449.35</w:t>
            </w:r>
          </w:p>
        </w:tc>
      </w:tr>
      <w:tr>
        <w:trPr/>
        <w:tc>
          <w:tcPr>
            <w:tcW w:w="274"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center"/>
              <w:rPr/>
            </w:pPr>
            <w:r>
              <w:rPr/>
              <w:t> </w:t>
            </w:r>
          </w:p>
        </w:tc>
        <w:tc>
          <w:tcPr>
            <w:tcW w:w="4997" w:type="dxa"/>
            <w:gridSpan w:val="4"/>
            <w:tcBorders>
              <w:left w:val="single" w:sz="4" w:space="0" w:color="000000"/>
              <w:bottom w:val="single" w:sz="4" w:space="0" w:color="000000"/>
            </w:tcBorders>
            <w:tcMar>
              <w:top w:w="0" w:type="dxa"/>
              <w:bottom w:w="35"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Total Fee Offsets:</w:t>
            </w:r>
          </w:p>
        </w:tc>
        <w:tc>
          <w:tcPr>
            <w:tcW w:w="1388"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45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871" w:type="dxa"/>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pPr>
            <w:r>
              <w:rPr/>
              <w:t> </w:t>
            </w:r>
          </w:p>
        </w:tc>
        <w:tc>
          <w:tcPr>
            <w:tcW w:w="1224" w:type="dxa"/>
            <w:tcBorders>
              <w:top w:val="single" w:sz="4" w:space="0" w:color="000000"/>
              <w:left w:val="single" w:sz="4" w:space="0" w:color="000000"/>
              <w:right w:val="single" w:sz="4" w:space="0" w:color="000000"/>
            </w:tcBorders>
            <w:tcMar>
              <w:top w:w="35" w:type="dxa"/>
              <w:bottom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$0.00</w:t>
            </w:r>
          </w:p>
        </w:tc>
      </w:tr>
      <w:tr>
        <w:trPr/>
        <w:tc>
          <w:tcPr>
            <w:tcW w:w="274" w:type="dxa"/>
            <w:tcBorders>
              <w:left w:val="single" w:sz="4" w:space="0" w:color="000000"/>
              <w:bottom w:val="single" w:sz="4" w:space="0" w:color="000000"/>
            </w:tcBorders>
            <w:tcMar>
              <w:top w:w="0" w:type="dxa"/>
              <w:left w:w="108" w:type="dxa"/>
              <w:right w:w="0" w:type="dxa"/>
            </w:tcMar>
            <w:vAlign w:val="center"/>
          </w:tcPr>
          <w:p>
            <w:pPr>
              <w:pStyle w:val="TableContents"/>
              <w:bidi w:val="0"/>
              <w:spacing w:before="0" w:after="283"/>
              <w:jc w:val="center"/>
              <w:rPr/>
            </w:pPr>
            <w:r>
              <w:rPr/>
              <w:t> </w:t>
            </w:r>
          </w:p>
        </w:tc>
        <w:tc>
          <w:tcPr>
            <w:tcW w:w="4997" w:type="dxa"/>
            <w:gridSpan w:val="4"/>
            <w:tcBorders>
              <w:left w:val="single" w:sz="4" w:space="0" w:color="000000"/>
              <w:bottom w:val="single" w:sz="4" w:space="0" w:color="000000"/>
            </w:tcBorders>
            <w:tcMar>
              <w:top w:w="0" w:type="dxa"/>
              <w:bottom w:w="35"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Net Fee Due:</w:t>
            </w:r>
          </w:p>
        </w:tc>
        <w:tc>
          <w:tcPr>
            <w:tcW w:w="1388" w:type="dxa"/>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pPr>
            <w:r>
              <w:rPr/>
              <w:t> </w:t>
            </w:r>
          </w:p>
        </w:tc>
        <w:tc>
          <w:tcPr>
            <w:tcW w:w="145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pPr>
            <w:r>
              <w:rPr/>
              <w:t> </w:t>
            </w:r>
          </w:p>
        </w:tc>
        <w:tc>
          <w:tcPr>
            <w:tcW w:w="87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pPr>
            <w:r>
              <w:rPr/>
              <w:t> </w:t>
            </w:r>
          </w:p>
        </w:tc>
        <w:tc>
          <w:tcPr>
            <w:tcW w:w="1224" w:type="dxa"/>
            <w:tcBorders>
              <w:top w:val="single" w:sz="4" w:space="0" w:color="000000"/>
              <w:left w:val="single" w:sz="4" w:space="0" w:color="000000"/>
              <w:bottom w:val="single" w:sz="4" w:space="0" w:color="000000"/>
              <w:right w:val="single" w:sz="4" w:space="0" w:color="000000"/>
            </w:tcBorders>
            <w:tcMar>
              <w:top w:w="35" w:type="dxa"/>
              <w:bottom w:w="35"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$449.35</w:t>
            </w:r>
          </w:p>
        </w:tc>
      </w:tr>
    </w:tbl>
    <w:p>
      <w:pPr>
        <w:pStyle w:val="TextBody"/>
        <w:pBdr>
          <w:bottom w:val="double" w:sz="4" w:space="1" w:color="000000"/>
        </w:pBdr>
        <w:bidi w:val="0"/>
        <w:jc w:val="both"/>
        <w:rPr/>
      </w:pPr>
      <w:r>
        <w:rPr/>
        <w:t> </w:t>
      </w:r>
    </w:p>
    <w:p>
      <w:pPr>
        <w:pStyle w:val="TextBody"/>
        <w:bidi w:val="0"/>
        <w:jc w:val="both"/>
        <w:rPr/>
      </w:pPr>
      <w:r>
        <w:rPr/>
        <w:t> </w:t>
      </w:r>
    </w:p>
    <w:p>
      <w:pPr>
        <w:pStyle w:val="TextBody"/>
        <w:bidi w:val="0"/>
        <w:spacing w:lineRule="auto" w:line="360"/>
        <w:jc w:val="both"/>
        <w:rPr>
          <w:rFonts w:ascii="Times New Roman" w:hAnsi="Times New Roman"/>
          <w:sz w:val="13"/>
        </w:rPr>
      </w:pPr>
      <w:r>
        <w:rPr>
          <w:rFonts w:ascii="Times New Roman" w:hAnsi="Times New Roman"/>
          <w:color w:val="000000"/>
          <w:sz w:val="13"/>
        </w:rPr>
        <w:t xml:space="preserve">1 </w:t>
      </w:r>
      <w:r>
        <w:rPr>
          <w:rFonts w:ascii="Times New Roman" w:hAnsi="Times New Roman"/>
          <w:color w:val="000000"/>
          <w:sz w:val="20"/>
        </w:rPr>
        <w:t>Pursuant to Rule 416 under the Securities Act of 1933, as amended (the “Securities Act”), this Registration Statement on Form S-8 shall also cover any additional shares of the registrant’s common stock, $0.00000002 par value (the “Common Stock”) which become issuable under the Lite Strategy, Inc. 2026 Omnibus Equity Compensation Plan by reason of any stock dividend, stock split, recapitalization, or any other similar transaction effected without the receipt of consideration which results in an increase in the number of outstanding shares of Common Stock.</w:t>
      </w:r>
    </w:p>
    <w:p>
      <w:pPr>
        <w:pStyle w:val="TextBody"/>
        <w:bidi w:val="0"/>
        <w:jc w:val="both"/>
        <w:rPr>
          <w:rFonts w:ascii="Times New Roman" w:hAnsi="Times New Roman"/>
          <w:color w:val="000000"/>
          <w:sz w:val="20"/>
        </w:rPr>
      </w:pPr>
      <w:r>
        <w:rPr>
          <w:rFonts w:ascii="Times New Roman" w:hAnsi="Times New Roman"/>
          <w:color w:val="000000"/>
          <w:sz w:val="20"/>
        </w:rPr>
        <w:br/>
        <w:t>Estimated solely for the purpose of determining the registration fee pursuant to Rules 457(c) and 457(h) under the Securities Act, based on the average of the high and low prices of the Common Stock as reported on The Nasdaq Stock Market on September 22,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262104/000119312526405328/lits-20260630.htm" TargetMode="External"/><Relationship Id="rId3" Type="http://schemas.openxmlformats.org/officeDocument/2006/relationships/hyperlink" Target="https://www.sec.gov/Archives/edgar/data/1262104/000095017023049927/meip-ex4_4.htm" TargetMode="External"/><Relationship Id="rId4" Type="http://schemas.openxmlformats.org/officeDocument/2006/relationships/hyperlink" Target="https://www.sec.gov/ix?doc=/Archives/edgar/data/1262104/000095017023049927/meip-20230630.htm" TargetMode="External"/><Relationship Id="rId5" Type="http://schemas.openxmlformats.org/officeDocument/2006/relationships/hyperlink" Target="https://www.sec.gov/Archives/edgar/data/1262104/000119312525220421/lits-ex3_1.htm" TargetMode="External"/><Relationship Id="rId6" Type="http://schemas.openxmlformats.org/officeDocument/2006/relationships/hyperlink" Target="https://www.sec.gov/Archives/edgar/data/1262104/000119312525220421/lits-ex3_1.htm" TargetMode="External"/><Relationship Id="rId7" Type="http://schemas.openxmlformats.org/officeDocument/2006/relationships/hyperlink" Target="https://www.sec.gov/Archives/edgar/data/1262104/000095017023072612/meip-ex3_1.htm" TargetMode="External"/><Relationship Id="rId8" Type="http://schemas.openxmlformats.org/officeDocument/2006/relationships/hyperlink" Target="https://www.sec.gov/Archives/edgar/data/1262104/000095012303012005/y90124a1exv4w1.txt" TargetMode="External"/><Relationship Id="rId9" Type="http://schemas.openxmlformats.org/officeDocument/2006/relationships/hyperlink" Target="https://www.sec.gov/Archives/edgar/data/1262104/000119312526049005/lits-ex10_1.htm" TargetMode="External"/><Relationship Id="rId10" Type="http://schemas.openxmlformats.org/officeDocument/2006/relationships/image" Target="media/image1.gif"/><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3565</Words>
  <Characters>19236</Characters>
  <CharactersWithSpaces>22753</CharactersWithSpaces>
  <Paragraphs>425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